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Общие правила рассмотрения</w:t>
      </w:r>
      <w:r>
        <w:rPr>
          <w:b/>
          <w:bCs/>
          <w:sz w:val="28"/>
          <w:szCs w:val="28"/>
        </w:rPr>
        <w:t xml:space="preserve"> </w:t>
      </w:r>
      <w:bookmarkStart w:id="0" w:name="_Hlk192084459"/>
      <w:r>
        <w:rPr>
          <w:b/>
          <w:bCs/>
          <w:sz w:val="28"/>
          <w:szCs w:val="28"/>
        </w:rPr>
        <w:t xml:space="preserve">рекламаций</w:t>
      </w:r>
      <w:bookmarkEnd w:id="0"/>
      <w:r>
        <w:rPr>
          <w:b/>
          <w:bCs/>
          <w:sz w:val="28"/>
          <w:szCs w:val="28"/>
        </w:rPr>
        <w:t xml:space="preserve"> по качеству пленочного покрытия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(регламент предъявления претензий)</w:t>
      </w:r>
      <w:r>
        <w:rPr>
          <w:b/>
          <w:bCs/>
          <w:sz w:val="28"/>
          <w:szCs w:val="28"/>
          <w:highlight w:val="none"/>
        </w:rPr>
      </w:r>
    </w:p>
    <w:p>
      <w:r>
        <w:t xml:space="preserve">Для предъявления </w:t>
      </w:r>
      <w:r>
        <w:t xml:space="preserve">рекламаци</w:t>
      </w:r>
      <w:r>
        <w:t xml:space="preserve">и по обнаруженным дефектам пленочного покрытия необходимо</w:t>
      </w:r>
      <w:r>
        <w:t xml:space="preserve"> </w:t>
      </w:r>
      <w:r>
        <w:t xml:space="preserve">предоставить описание, раскрывающее обстоятельства</w:t>
      </w:r>
      <w:r>
        <w:t xml:space="preserve"> их</w:t>
      </w:r>
      <w:r>
        <w:t xml:space="preserve"> возникновения или обнаружения, фото</w:t>
      </w:r>
      <w:r>
        <w:t xml:space="preserve">/</w:t>
      </w:r>
      <w:r>
        <w:t xml:space="preserve">видео материалы, однозначно определяющие заявляемый дефект.</w:t>
      </w:r>
      <w:r/>
    </w:p>
    <w:p>
      <w:r>
        <w:t xml:space="preserve">Сопроводительное текстовое описание должно содержать:</w:t>
      </w:r>
      <w:r/>
    </w:p>
    <w:p>
      <w:r>
        <w:t xml:space="preserve">1) Контактная информация заявителя</w:t>
      </w:r>
      <w:r>
        <w:t xml:space="preserve"> </w:t>
      </w:r>
      <w:r>
        <w:t xml:space="preserve">(юр. лицо, адрес, ФИО, телефон, </w:t>
      </w:r>
      <w:r>
        <w:t xml:space="preserve">email</w:t>
      </w:r>
      <w:r>
        <w:t xml:space="preserve">), согласие на</w:t>
      </w:r>
      <w:r>
        <w:t xml:space="preserve"> </w:t>
      </w:r>
      <w:r>
        <w:t xml:space="preserve">обработку персональных данных, если дефект выявлен конечным потребителем</w:t>
      </w:r>
      <w:r>
        <w:t xml:space="preserve">.</w:t>
      </w:r>
      <w:r/>
    </w:p>
    <w:p>
      <w:r>
        <w:t xml:space="preserve">2) Полное наименование продукта</w:t>
      </w:r>
      <w:r>
        <w:t xml:space="preserve">.</w:t>
      </w:r>
      <w:r>
        <w:t xml:space="preserve"> </w:t>
      </w:r>
      <w:r/>
    </w:p>
    <w:p>
      <w:r>
        <w:t xml:space="preserve">3) </w:t>
      </w:r>
      <w:r>
        <w:t xml:space="preserve">Штрих - код</w:t>
      </w:r>
      <w:r>
        <w:t xml:space="preserve">, указанны</w:t>
      </w:r>
      <w:r>
        <w:t xml:space="preserve">й</w:t>
      </w:r>
      <w:r>
        <w:t xml:space="preserve"> на торцевой этикетк</w:t>
      </w:r>
      <w:r>
        <w:t xml:space="preserve">е коробки</w:t>
      </w:r>
      <w:r>
        <w:t xml:space="preserve"> для</w:t>
      </w:r>
      <w:r>
        <w:t xml:space="preserve"> </w:t>
      </w:r>
      <w:r>
        <w:t xml:space="preserve">идентификации продукта</w:t>
      </w:r>
      <w:r>
        <w:t xml:space="preserve">.</w:t>
      </w:r>
      <w:r>
        <w:t xml:space="preserve"> </w:t>
      </w:r>
      <w:r/>
    </w:p>
    <w:p>
      <w:r>
        <w:t xml:space="preserve">4) </w:t>
      </w:r>
      <w:r>
        <w:t xml:space="preserve">Текстовое</w:t>
      </w:r>
      <w:r>
        <w:t xml:space="preserve"> словесное</w:t>
      </w:r>
      <w:r>
        <w:t xml:space="preserve"> </w:t>
      </w:r>
      <w:r>
        <w:t xml:space="preserve">описание дефекта</w:t>
      </w:r>
      <w:r>
        <w:t xml:space="preserve">.</w:t>
      </w:r>
      <w:r/>
    </w:p>
    <w:p>
      <w:r>
        <w:t xml:space="preserve">5)</w:t>
      </w:r>
      <w:r>
        <w:t xml:space="preserve"> </w:t>
      </w:r>
      <w:r>
        <w:t xml:space="preserve">Площадь, охваченную дефектом</w:t>
      </w:r>
      <w:r>
        <w:t xml:space="preserve"> </w:t>
      </w:r>
      <w:r>
        <w:t xml:space="preserve">(дефект на определенных участках</w:t>
      </w:r>
      <w:r>
        <w:t xml:space="preserve"> </w:t>
      </w:r>
      <w:r>
        <w:t xml:space="preserve">или по всей площади материала) с подтверждением путем предоставления фотоматериалов, идентифицирующих целостный объект, на котором нанесена пленка</w:t>
      </w:r>
      <w:r>
        <w:t xml:space="preserve">.</w:t>
      </w:r>
      <w:r/>
    </w:p>
    <w:p>
      <w:r>
        <w:t xml:space="preserve">6) Момент обнаружения дефекта</w:t>
      </w:r>
      <w:r>
        <w:t xml:space="preserve"> </w:t>
      </w:r>
      <w:r>
        <w:t xml:space="preserve">(до установки, в момент установки, после установки, в ходе</w:t>
      </w:r>
      <w:r>
        <w:t xml:space="preserve"> </w:t>
      </w:r>
      <w:r>
        <w:t xml:space="preserve">эксплуатации)</w:t>
      </w:r>
      <w:r>
        <w:t xml:space="preserve">.</w:t>
      </w:r>
      <w:r/>
    </w:p>
    <w:p>
      <w:r>
        <w:t xml:space="preserve">7) Объем приобретенного материала, в рамках которого обнаружен заявляемый дефект</w:t>
      </w:r>
      <w:r>
        <w:t xml:space="preserve"> </w:t>
      </w:r>
      <w:r>
        <w:t xml:space="preserve">(рулон, отрез)</w:t>
      </w:r>
      <w:r>
        <w:t xml:space="preserve">.</w:t>
      </w:r>
      <w:r/>
    </w:p>
    <w:p>
      <w:r>
        <w:t xml:space="preserve">8) Дата приобретения</w:t>
      </w:r>
      <w:r>
        <w:t xml:space="preserve">, н</w:t>
      </w:r>
      <w:r>
        <w:t xml:space="preserve">омер Товарной Накладной или УПД</w:t>
      </w:r>
      <w:r>
        <w:t xml:space="preserve">.</w:t>
      </w:r>
      <w:r/>
    </w:p>
    <w:p>
      <w:r>
        <w:t xml:space="preserve">9</w:t>
      </w:r>
      <w:r>
        <w:t xml:space="preserve">) Метод доставки (самовывоз, ТК с указанием названия)</w:t>
      </w:r>
      <w:r>
        <w:t xml:space="preserve">.</w:t>
      </w:r>
      <w:r/>
    </w:p>
    <w:p>
      <w:r>
        <w:t xml:space="preserve">1</w:t>
      </w:r>
      <w:r>
        <w:t xml:space="preserve">0</w:t>
      </w:r>
      <w:r>
        <w:t xml:space="preserve">) Для дефектов, обнаруженных после начала установки:</w:t>
      </w:r>
      <w:r/>
    </w:p>
    <w:p>
      <w:r>
        <w:t xml:space="preserve">- Состав установочного раствора, использованного в ходе инсталляции</w:t>
      </w:r>
      <w:r>
        <w:t xml:space="preserve"> </w:t>
      </w:r>
      <w:r>
        <w:t xml:space="preserve">(наличие спирта, использование водопроводной или дистиллированной очищенной воды)</w:t>
      </w:r>
      <w:r>
        <w:t xml:space="preserve">.</w:t>
      </w:r>
      <w:r/>
    </w:p>
    <w:p>
      <w:r>
        <w:t xml:space="preserve">- Сопутствующие развернутые описания дефекта или обстоятельств его возникновения</w:t>
      </w:r>
      <w:r>
        <w:t xml:space="preserve"> </w:t>
      </w:r>
      <w:r>
        <w:t xml:space="preserve">(использование химии или любых других агрессивных</w:t>
      </w:r>
      <w:r>
        <w:t xml:space="preserve"> </w:t>
      </w:r>
      <w:r>
        <w:t xml:space="preserve">агентов/абразивных воздействий для очистки пленочного покрытия).</w:t>
      </w:r>
      <w:r/>
    </w:p>
    <w:p>
      <w:pPr>
        <w:jc w:val="both"/>
      </w:pPr>
      <w:r>
        <w:t xml:space="preserve">1</w:t>
      </w:r>
      <w:r>
        <w:t xml:space="preserve">1</w:t>
      </w:r>
      <w:r>
        <w:t xml:space="preserve">) </w:t>
      </w:r>
      <w:r>
        <w:t xml:space="preserve">Площадь</w:t>
      </w:r>
      <w:r>
        <w:t xml:space="preserve"> материала, предъявляемый к компенсации</w:t>
      </w:r>
      <w:r>
        <w:t xml:space="preserve"> или </w:t>
      </w:r>
      <w:r>
        <w:t xml:space="preserve">обмену в рамках претензии, обоснование и</w:t>
      </w:r>
      <w:r>
        <w:t xml:space="preserve"> р</w:t>
      </w:r>
      <w:r>
        <w:t xml:space="preserve">асчет</w:t>
      </w:r>
      <w:r>
        <w:t xml:space="preserve">.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сопроводительных фото/видео материалов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r>
        <w:t xml:space="preserve">1) Необходимо предоставить развернутые фото/видео материалы участка, охваченного дефектом.</w:t>
      </w:r>
      <w:r>
        <w:t xml:space="preserve"> </w:t>
      </w:r>
      <w:r>
        <w:t xml:space="preserve">Качество фото/видео материалов и условия съемки должны быть достаточны для визуального</w:t>
      </w:r>
      <w:r>
        <w:t xml:space="preserve"> </w:t>
      </w:r>
      <w:r>
        <w:t xml:space="preserve">определения дефекта и объекта, на который нанесена спорная продукция. Для дефектов, связанных с изменением визуальных характеристик пленочного покрытия, необходимо предоставить сравнительные фото/видео материалы участков подверженных и неподверженных</w:t>
      </w:r>
      <w:r>
        <w:t xml:space="preserve"> </w:t>
      </w:r>
      <w:r>
        <w:t xml:space="preserve">дефекту, в одной плоскости при одинаковом освещении.</w:t>
      </w:r>
      <w:r/>
    </w:p>
    <w:p>
      <w:r>
        <w:t xml:space="preserve">2) Продавец оставляет за собой право запрашивать дополнительные материалы, необходимые</w:t>
      </w:r>
      <w:r>
        <w:t xml:space="preserve"> </w:t>
      </w:r>
      <w:r>
        <w:t xml:space="preserve">для однозначного определения наличия или отсутствия заводского дефекта. Если</w:t>
      </w:r>
      <w:r>
        <w:t xml:space="preserve"> </w:t>
      </w:r>
      <w:r>
        <w:t xml:space="preserve">дистанционное однозначное определение дефекта не представляется возможным, могут быть</w:t>
      </w:r>
      <w:r>
        <w:t xml:space="preserve"> </w:t>
      </w:r>
      <w:r>
        <w:t xml:space="preserve">запрошены образцы для идентификации продукта и лабораторного анализа в рамках выяснения</w:t>
      </w:r>
      <w:r>
        <w:t xml:space="preserve"> </w:t>
      </w:r>
      <w:r>
        <w:t xml:space="preserve">причин возникновения дефекта. По этой причине не допускается утилизация или, в случае с</w:t>
      </w:r>
      <w:r>
        <w:t xml:space="preserve"> </w:t>
      </w:r>
      <w:r>
        <w:t xml:space="preserve">установленным материалом, полный демонтаж покрытия, предъявляемого в рамках претензии, до вынесения окончательного решения со стороны продавца.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Сроки рассмотрения претензии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r>
        <w:t xml:space="preserve">Срок рассмотрения претензии, не предусматривающей изъятие образцов для лабораторного</w:t>
      </w:r>
      <w:r>
        <w:t xml:space="preserve"> </w:t>
      </w:r>
      <w:r>
        <w:t xml:space="preserve">анализа стороной поставщика или производителя, составляет до</w:t>
      </w:r>
      <w:r>
        <w:t xml:space="preserve"> </w:t>
      </w:r>
      <w:r>
        <w:t xml:space="preserve">10 рабочих дней. В случае</w:t>
      </w:r>
      <w:r>
        <w:t xml:space="preserve"> </w:t>
      </w:r>
      <w:r>
        <w:t xml:space="preserve">невозможности дистанционного принятия объективного решения по предоставленным</w:t>
      </w:r>
      <w:r>
        <w:t xml:space="preserve"> </w:t>
      </w:r>
      <w:r>
        <w:t xml:space="preserve">материалам и необходимости изъятия образцов для лабораторного анализа, срок может быть</w:t>
      </w:r>
      <w:r>
        <w:t xml:space="preserve"> </w:t>
      </w:r>
      <w:r>
        <w:t xml:space="preserve">увеличен до</w:t>
      </w:r>
      <w:r>
        <w:t xml:space="preserve"> </w:t>
      </w:r>
      <w:r>
        <w:t xml:space="preserve">28 рабочих дней, не включающих время пересылки образцов и проведения</w:t>
      </w:r>
      <w:r>
        <w:t xml:space="preserve"> </w:t>
      </w:r>
      <w:r>
        <w:t xml:space="preserve">экспертизы сторонней организацией, привлеченной поставщиком.</w:t>
      </w:r>
      <w:r/>
    </w:p>
    <w:p>
      <w:r/>
      <w:r/>
    </w:p>
    <w:p>
      <w:pPr>
        <w:jc w:val="both"/>
      </w:pPr>
      <w:r/>
      <w:r/>
    </w:p>
    <w:p>
      <w:r>
        <w:t xml:space="preserve">Это относится к отказу в обработке претензий по пленке, не поддающейся идентификации, пленке, отрезанной от рулона, установленной или демонтированной, </w:t>
      </w:r>
      <w:r>
        <w:t xml:space="preserve">ввиду</w:t>
      </w:r>
      <w:r>
        <w:t xml:space="preserve"> полной невозможности однозначного определения момента возникновения дефекта.</w:t>
      </w:r>
      <w:r/>
    </w:p>
    <w:p>
      <w:r>
        <w:t xml:space="preserve"> Поэтому, прежде чем отрезать пленку с рулона необходимо внимательно осмотреть пленку на отсутствие видимых дефектов. При отрезе или установки пленки с видимыми дефектами претензии по качеству не принимаются.</w:t>
      </w:r>
      <w:r/>
    </w:p>
    <w:p>
      <w:r>
        <w:t xml:space="preserve">При обнаружении видимых дефектов необходимо остановить реализацию или использование дефектной пленки, предъявить дилеру/поставщику претензию и согласовать дальнейшее действия с дефектной пленкой.</w:t>
      </w:r>
      <w:r/>
    </w:p>
    <w:p>
      <w:r>
        <w:t xml:space="preserve"> Напоминаем, что в случае возврата, пле</w:t>
      </w:r>
      <w:r>
        <w:t xml:space="preserve">нка не должна содержать приобретенных дефектов от следов перемотки, хранения и транспортировки, в виде различных загрязнений, отпечатков пальцев, заломов, царапин и т.д. Поэтому, претензии к возвратной пленке, имеющей приобретенные дефекты, не принимается.</w:t>
      </w:r>
      <w:r/>
    </w:p>
    <w:p>
      <w:r>
        <w:t xml:space="preserve">*По пленке, не имеющей признаков идентификации, отрезанной от рулона или по пленке после её инсталляции рекламации не рассматриваются.</w:t>
      </w:r>
      <w:r/>
    </w:p>
    <w:p>
      <w:r>
        <w:t xml:space="preserve">При необходимости Продавец может потребовать от Покупателя дополнительных пояснений, фотографий или видео для уточнения каких-либо асп</w:t>
      </w:r>
      <w:r>
        <w:t xml:space="preserve">ектов, связанных с рекламацией. При невозможности дистанционного разрешения рекламации, Продавец может потребовать возврат указанного в рамках претензии материала в полном объеме или в размере, необходимом для анализа на стороне Продавца или Производителя.</w:t>
      </w:r>
      <w:r/>
    </w:p>
    <w:p>
      <w:r>
        <w:t xml:space="preserve">Требование к возвратной пленке и </w:t>
      </w:r>
      <w:r>
        <w:t xml:space="preserve">упаковке.</w:t>
      </w:r>
      <w:r>
        <w:t xml:space="preserve"> Возвратная пленка и ее у</w:t>
      </w:r>
      <w:r>
        <w:t xml:space="preserve">паковка должны иметь сохраненный товарный вид. Пленка должна быть упакована в оригинальный целлофановый рукав и оригинальную картонную коробку. Упаковка должна гарантировать отсутствие получения механических повреждений пленки при транспортировке через ТК.</w:t>
      </w:r>
      <w:r/>
    </w:p>
    <w:p>
      <w:r>
        <w:t xml:space="preserve"> Продукт и его упаковка долж</w:t>
      </w:r>
      <w:r>
        <w:t xml:space="preserve">ны быть отправлены с сохранением всех номерных идентификационных элементов. Дефектные места на пленке должны быть отмечены следующим образом: на пленку наклеиваются полосы бумажного скотча, на которых фломастером в виде стрелок указываются дефектные места.</w:t>
      </w:r>
      <w:r/>
    </w:p>
    <w:p>
      <w:r>
        <w:t xml:space="preserve"> Пленка не должна иметь приобретенных дефектов от перемотки, хранения или транспортировки, в виде различных загрязнений, отпечатков пальцев, заломов, царапин и т.д.</w:t>
      </w:r>
      <w:r/>
    </w:p>
    <w:p>
      <w:r>
        <w:t xml:space="preserve">Претензии к возвратной пленке, имеющей вышеуказанные приобретенные дефекты или нарушения требований по упаковке, не принимаются.</w:t>
      </w:r>
      <w:r/>
    </w:p>
    <w:p>
      <w:r/>
      <w:r/>
    </w:p>
    <w:sectPr>
      <w:footnotePr/>
      <w:endnotePr/>
      <w:type w:val="nextPage"/>
      <w:pgSz w:w="11906" w:h="16838" w:orient="portrait"/>
      <w:pgMar w:top="284" w:right="424" w:bottom="142" w:left="56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maxim</cp:lastModifiedBy>
  <cp:revision>14</cp:revision>
  <dcterms:created xsi:type="dcterms:W3CDTF">2025-03-05T13:22:00Z</dcterms:created>
  <dcterms:modified xsi:type="dcterms:W3CDTF">2026-01-30T16:59:31Z</dcterms:modified>
</cp:coreProperties>
</file>